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CA" w:rsidRPr="007933CA" w:rsidRDefault="007933CA" w:rsidP="007933CA">
      <w:pPr>
        <w:jc w:val="center"/>
        <w:rPr>
          <w:rFonts w:asciiTheme="minorHAnsi" w:eastAsia="Calibri" w:hAnsiTheme="minorHAnsi" w:cs="Arial"/>
          <w:b/>
          <w:bCs/>
        </w:rPr>
      </w:pPr>
      <w:r w:rsidRPr="007933CA">
        <w:rPr>
          <w:rFonts w:asciiTheme="minorHAnsi" w:eastAsia="Calibri" w:hAnsiTheme="minorHAnsi" w:cs="Arial"/>
          <w:b/>
          <w:bCs/>
        </w:rPr>
        <w:t>RESOLUÇÃO Nº 07/CONPRESP/2021</w:t>
      </w:r>
    </w:p>
    <w:p w:rsidR="00824F30" w:rsidRPr="007933CA" w:rsidRDefault="00824F30" w:rsidP="007933CA">
      <w:pPr>
        <w:pStyle w:val="Corpodetexto"/>
        <w:spacing w:line="360" w:lineRule="auto"/>
        <w:jc w:val="both"/>
        <w:rPr>
          <w:b/>
          <w:sz w:val="31"/>
        </w:rPr>
      </w:pPr>
    </w:p>
    <w:p w:rsidR="00824F30" w:rsidRPr="007933CA" w:rsidRDefault="00824F30" w:rsidP="007933CA">
      <w:pPr>
        <w:pStyle w:val="Corpodetexto"/>
        <w:tabs>
          <w:tab w:val="left" w:pos="6714"/>
        </w:tabs>
        <w:spacing w:before="1" w:line="360" w:lineRule="auto"/>
        <w:ind w:right="-1" w:firstLine="851"/>
        <w:jc w:val="both"/>
      </w:pPr>
      <w:r w:rsidRPr="007933CA">
        <w:t>O</w:t>
      </w:r>
      <w:r w:rsidRPr="007933CA">
        <w:rPr>
          <w:spacing w:val="-13"/>
        </w:rPr>
        <w:t xml:space="preserve"> </w:t>
      </w:r>
      <w:r w:rsidRPr="007933CA">
        <w:t>Conselho</w:t>
      </w:r>
      <w:r w:rsidRPr="007933CA">
        <w:rPr>
          <w:spacing w:val="-13"/>
        </w:rPr>
        <w:t xml:space="preserve"> </w:t>
      </w:r>
      <w:r w:rsidRPr="007933CA">
        <w:t>Municipal</w:t>
      </w:r>
      <w:r w:rsidRPr="007933CA">
        <w:rPr>
          <w:spacing w:val="-13"/>
        </w:rPr>
        <w:t xml:space="preserve"> </w:t>
      </w:r>
      <w:r w:rsidRPr="007933CA">
        <w:t>de</w:t>
      </w:r>
      <w:r w:rsidRPr="007933CA">
        <w:rPr>
          <w:spacing w:val="-14"/>
        </w:rPr>
        <w:t xml:space="preserve"> </w:t>
      </w:r>
      <w:r w:rsidRPr="007933CA">
        <w:t>Preservação</w:t>
      </w:r>
      <w:r w:rsidRPr="007933CA">
        <w:rPr>
          <w:spacing w:val="-13"/>
        </w:rPr>
        <w:t xml:space="preserve"> </w:t>
      </w:r>
      <w:r w:rsidRPr="007933CA">
        <w:t>do</w:t>
      </w:r>
      <w:r w:rsidRPr="007933CA">
        <w:rPr>
          <w:spacing w:val="-13"/>
        </w:rPr>
        <w:t xml:space="preserve"> </w:t>
      </w:r>
      <w:r w:rsidRPr="007933CA">
        <w:t>Patrimônio</w:t>
      </w:r>
      <w:r w:rsidRPr="007933CA">
        <w:rPr>
          <w:spacing w:val="-11"/>
        </w:rPr>
        <w:t xml:space="preserve"> </w:t>
      </w:r>
      <w:r w:rsidRPr="007933CA">
        <w:t>Histórico,</w:t>
      </w:r>
      <w:r w:rsidRPr="007933CA">
        <w:rPr>
          <w:spacing w:val="-13"/>
        </w:rPr>
        <w:t xml:space="preserve"> </w:t>
      </w:r>
      <w:r w:rsidRPr="007933CA">
        <w:t>Cultural</w:t>
      </w:r>
      <w:r w:rsidRPr="007933CA">
        <w:rPr>
          <w:spacing w:val="-13"/>
        </w:rPr>
        <w:t xml:space="preserve"> </w:t>
      </w:r>
      <w:r w:rsidRPr="007933CA">
        <w:t>e</w:t>
      </w:r>
      <w:r w:rsidRPr="007933CA">
        <w:rPr>
          <w:spacing w:val="-13"/>
        </w:rPr>
        <w:t xml:space="preserve"> </w:t>
      </w:r>
      <w:r w:rsidRPr="007933CA">
        <w:t>Ambiental</w:t>
      </w:r>
      <w:r w:rsidRPr="007933CA">
        <w:rPr>
          <w:spacing w:val="-14"/>
        </w:rPr>
        <w:t xml:space="preserve"> </w:t>
      </w:r>
      <w:r w:rsidRPr="007933CA">
        <w:t>da</w:t>
      </w:r>
      <w:r w:rsidRPr="007933CA">
        <w:rPr>
          <w:spacing w:val="-11"/>
        </w:rPr>
        <w:t xml:space="preserve"> </w:t>
      </w:r>
      <w:r w:rsidRPr="007933CA">
        <w:t>Cidade</w:t>
      </w:r>
      <w:r w:rsidRPr="007933CA">
        <w:rPr>
          <w:spacing w:val="-52"/>
        </w:rPr>
        <w:t xml:space="preserve"> </w:t>
      </w:r>
      <w:r w:rsidRPr="007933CA">
        <w:t>de</w:t>
      </w:r>
      <w:r w:rsidRPr="007933CA">
        <w:rPr>
          <w:spacing w:val="-4"/>
        </w:rPr>
        <w:t xml:space="preserve"> </w:t>
      </w:r>
      <w:r w:rsidRPr="007933CA">
        <w:t>São</w:t>
      </w:r>
      <w:r w:rsidRPr="007933CA">
        <w:rPr>
          <w:spacing w:val="-3"/>
        </w:rPr>
        <w:t xml:space="preserve"> </w:t>
      </w:r>
      <w:r w:rsidRPr="007933CA">
        <w:t>Paulo</w:t>
      </w:r>
      <w:r w:rsidRPr="007933CA">
        <w:rPr>
          <w:spacing w:val="-4"/>
        </w:rPr>
        <w:t xml:space="preserve"> </w:t>
      </w:r>
      <w:r w:rsidRPr="007933CA">
        <w:t>–</w:t>
      </w:r>
      <w:r w:rsidRPr="007933CA">
        <w:rPr>
          <w:spacing w:val="-3"/>
        </w:rPr>
        <w:t xml:space="preserve"> </w:t>
      </w:r>
      <w:r w:rsidRPr="007933CA">
        <w:t>CONPRESP,</w:t>
      </w:r>
      <w:r w:rsidRPr="007933CA">
        <w:rPr>
          <w:spacing w:val="-3"/>
        </w:rPr>
        <w:t xml:space="preserve"> </w:t>
      </w:r>
      <w:r w:rsidRPr="007933CA">
        <w:t>no</w:t>
      </w:r>
      <w:r w:rsidRPr="007933CA">
        <w:rPr>
          <w:spacing w:val="-3"/>
        </w:rPr>
        <w:t xml:space="preserve"> </w:t>
      </w:r>
      <w:r w:rsidRPr="007933CA">
        <w:t>uso</w:t>
      </w:r>
      <w:r w:rsidRPr="007933CA">
        <w:rPr>
          <w:spacing w:val="-3"/>
        </w:rPr>
        <w:t xml:space="preserve"> </w:t>
      </w:r>
      <w:r w:rsidRPr="007933CA">
        <w:t>de</w:t>
      </w:r>
      <w:r w:rsidRPr="007933CA">
        <w:rPr>
          <w:spacing w:val="-4"/>
        </w:rPr>
        <w:t xml:space="preserve"> </w:t>
      </w:r>
      <w:r w:rsidRPr="007933CA">
        <w:t>suas</w:t>
      </w:r>
      <w:r w:rsidRPr="007933CA">
        <w:rPr>
          <w:spacing w:val="-5"/>
        </w:rPr>
        <w:t xml:space="preserve"> </w:t>
      </w:r>
      <w:r w:rsidRPr="007933CA">
        <w:t>atribuições</w:t>
      </w:r>
      <w:r w:rsidRPr="007933CA">
        <w:rPr>
          <w:spacing w:val="-4"/>
        </w:rPr>
        <w:t xml:space="preserve"> </w:t>
      </w:r>
      <w:r w:rsidRPr="007933CA">
        <w:t>legais</w:t>
      </w:r>
      <w:r w:rsidRPr="007933CA">
        <w:rPr>
          <w:spacing w:val="-3"/>
        </w:rPr>
        <w:t xml:space="preserve"> </w:t>
      </w:r>
      <w:r w:rsidRPr="007933CA">
        <w:t>e</w:t>
      </w:r>
      <w:r w:rsidRPr="007933CA">
        <w:rPr>
          <w:spacing w:val="-6"/>
        </w:rPr>
        <w:t xml:space="preserve"> </w:t>
      </w:r>
      <w:r w:rsidRPr="007933CA">
        <w:t>nos</w:t>
      </w:r>
      <w:r w:rsidRPr="007933CA">
        <w:rPr>
          <w:spacing w:val="-4"/>
        </w:rPr>
        <w:t xml:space="preserve"> </w:t>
      </w:r>
      <w:r w:rsidRPr="007933CA">
        <w:t>termos</w:t>
      </w:r>
      <w:r w:rsidRPr="007933CA">
        <w:rPr>
          <w:spacing w:val="-7"/>
        </w:rPr>
        <w:t xml:space="preserve"> </w:t>
      </w:r>
      <w:r w:rsidRPr="007933CA">
        <w:t>da</w:t>
      </w:r>
      <w:r w:rsidRPr="007933CA">
        <w:rPr>
          <w:spacing w:val="-4"/>
        </w:rPr>
        <w:t xml:space="preserve"> </w:t>
      </w:r>
      <w:r w:rsidRPr="007933CA">
        <w:t>Lei</w:t>
      </w:r>
      <w:r w:rsidRPr="007933CA">
        <w:rPr>
          <w:spacing w:val="-6"/>
        </w:rPr>
        <w:t xml:space="preserve"> </w:t>
      </w:r>
      <w:r w:rsidRPr="007933CA">
        <w:t>n°</w:t>
      </w:r>
      <w:r w:rsidRPr="007933CA">
        <w:rPr>
          <w:spacing w:val="-6"/>
        </w:rPr>
        <w:t xml:space="preserve"> </w:t>
      </w:r>
      <w:r w:rsidRPr="007933CA">
        <w:t>10.032,</w:t>
      </w:r>
      <w:r w:rsidRPr="007933CA">
        <w:rPr>
          <w:spacing w:val="-6"/>
        </w:rPr>
        <w:t xml:space="preserve"> </w:t>
      </w:r>
      <w:r w:rsidRPr="007933CA">
        <w:t>de</w:t>
      </w:r>
      <w:r w:rsidRPr="007933CA">
        <w:rPr>
          <w:spacing w:val="-52"/>
        </w:rPr>
        <w:t xml:space="preserve"> </w:t>
      </w:r>
      <w:r w:rsidRPr="007933CA">
        <w:t>27 de dezembro de 1985, com as alterações posteriores conforme decisão dos Conselheiros</w:t>
      </w:r>
      <w:r w:rsidRPr="007933CA">
        <w:rPr>
          <w:spacing w:val="1"/>
        </w:rPr>
        <w:t xml:space="preserve"> </w:t>
      </w:r>
      <w:r w:rsidRPr="007933CA">
        <w:t>presentes</w:t>
      </w:r>
      <w:r w:rsidRPr="007933CA">
        <w:rPr>
          <w:spacing w:val="-2"/>
        </w:rPr>
        <w:t xml:space="preserve"> </w:t>
      </w:r>
      <w:r w:rsidRPr="007933CA">
        <w:t xml:space="preserve">à </w:t>
      </w:r>
      <w:r w:rsidRPr="007933CA">
        <w:rPr>
          <w:b/>
          <w:bCs/>
        </w:rPr>
        <w:t>745ª Reunião Ordinária</w:t>
      </w:r>
      <w:r w:rsidRPr="007933CA">
        <w:rPr>
          <w:b/>
          <w:bCs/>
          <w:spacing w:val="3"/>
        </w:rPr>
        <w:t xml:space="preserve"> </w:t>
      </w:r>
      <w:r w:rsidRPr="007933CA">
        <w:t>realizada</w:t>
      </w:r>
      <w:r w:rsidRPr="007933CA">
        <w:rPr>
          <w:spacing w:val="-1"/>
        </w:rPr>
        <w:t xml:space="preserve"> </w:t>
      </w:r>
      <w:r w:rsidRPr="007933CA">
        <w:t xml:space="preserve">em </w:t>
      </w:r>
      <w:r w:rsidRPr="007933CA">
        <w:rPr>
          <w:b/>
          <w:bCs/>
        </w:rPr>
        <w:t>06 de dezembro de</w:t>
      </w:r>
      <w:r w:rsidRPr="007933CA">
        <w:rPr>
          <w:b/>
          <w:bCs/>
          <w:spacing w:val="-1"/>
        </w:rPr>
        <w:t xml:space="preserve"> </w:t>
      </w:r>
      <w:r w:rsidRPr="007933CA">
        <w:rPr>
          <w:b/>
          <w:bCs/>
        </w:rPr>
        <w:t>2021</w:t>
      </w:r>
      <w:r w:rsidRPr="007933CA">
        <w:t>, e</w:t>
      </w:r>
    </w:p>
    <w:p w:rsidR="00BB7FD3" w:rsidRPr="007933CA" w:rsidRDefault="00BB7FD3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00BB7FD3" w:rsidRPr="007933CA" w:rsidRDefault="00BB7FD3" w:rsidP="007933CA">
      <w:pPr>
        <w:pStyle w:val="Corpodetexto"/>
        <w:spacing w:line="360" w:lineRule="auto"/>
        <w:ind w:right="-1" w:firstLine="851"/>
        <w:jc w:val="both"/>
      </w:pPr>
      <w:r w:rsidRPr="007933CA">
        <w:rPr>
          <w:b/>
        </w:rPr>
        <w:t>CONSIDERANDO</w:t>
      </w:r>
      <w:r w:rsidRPr="007933CA">
        <w:t xml:space="preserve"> o patrimônio industrial como registro significativo das transformações geradas pela industrialização, que além de reunirem importantes valores históricos, sociais, tecnológicos e arquitetônicos, são testemunhos das técnicas construtivas tradicionais e dos processos produtivos dos primórdios da industrialização paulista e o tombamento do conjunto </w:t>
      </w:r>
      <w:r w:rsidR="00F83882" w:rsidRPr="007933CA">
        <w:t xml:space="preserve">no </w:t>
      </w:r>
      <w:r w:rsidRPr="007933CA">
        <w:t>entorno da Estação da Mooca pela Resolução 14/Conpresp/2007</w:t>
      </w:r>
      <w:r w:rsidR="00F83882" w:rsidRPr="007933CA">
        <w:t xml:space="preserve"> e pela Resolução 19/Conpresp/2011</w:t>
      </w:r>
      <w:r w:rsidRPr="007933CA">
        <w:t>;</w:t>
      </w:r>
    </w:p>
    <w:p w:rsidR="00BB7FD3" w:rsidRPr="007933CA" w:rsidRDefault="00BB7FD3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00824F30" w:rsidRPr="007933CA" w:rsidRDefault="00824F30" w:rsidP="007933CA">
      <w:pPr>
        <w:pStyle w:val="Corpodetexto"/>
        <w:spacing w:line="360" w:lineRule="auto"/>
        <w:ind w:right="-1" w:firstLine="851"/>
        <w:jc w:val="both"/>
      </w:pPr>
      <w:r w:rsidRPr="007933CA">
        <w:rPr>
          <w:b/>
        </w:rPr>
        <w:t xml:space="preserve">CONSIDERANDO </w:t>
      </w:r>
      <w:r w:rsidR="006C6761" w:rsidRPr="007933CA">
        <w:t xml:space="preserve">os </w:t>
      </w:r>
      <w:r w:rsidR="00BB3B97" w:rsidRPr="007933CA">
        <w:t xml:space="preserve">elementos </w:t>
      </w:r>
      <w:r w:rsidR="006C6761" w:rsidRPr="007933CA">
        <w:t>remanescentes</w:t>
      </w:r>
      <w:r w:rsidR="00BB3B97" w:rsidRPr="007933CA">
        <w:t xml:space="preserve"> (tais como estruturas, muros, chaminé, trilhos</w:t>
      </w:r>
      <w:r w:rsidR="00351170" w:rsidRPr="007933CA">
        <w:t xml:space="preserve"> de ramal ferroviário</w:t>
      </w:r>
      <w:r w:rsidR="00BB3B97" w:rsidRPr="007933CA">
        <w:t>, etc)</w:t>
      </w:r>
      <w:r w:rsidRPr="007933CA">
        <w:t xml:space="preserve"> como </w:t>
      </w:r>
      <w:r w:rsidR="00BB3B97" w:rsidRPr="007933CA">
        <w:t xml:space="preserve">atributos materiais do </w:t>
      </w:r>
      <w:r w:rsidRPr="007933CA">
        <w:t xml:space="preserve">registro </w:t>
      </w:r>
      <w:r w:rsidR="00BB3B97" w:rsidRPr="007933CA">
        <w:t>desse patrimônio da área industrial próxima da estação ferroviária da Mooca</w:t>
      </w:r>
      <w:r w:rsidR="00E012DF" w:rsidRPr="007933CA">
        <w:t xml:space="preserve"> </w:t>
      </w:r>
      <w:r w:rsidR="001D2DA6" w:rsidRPr="007933CA">
        <w:t xml:space="preserve">e </w:t>
      </w:r>
      <w:r w:rsidR="00F83882" w:rsidRPr="007933CA">
        <w:t>também seu</w:t>
      </w:r>
      <w:r w:rsidR="00E012DF" w:rsidRPr="007933CA">
        <w:t xml:space="preserve"> valor ambiental e paisagístico</w:t>
      </w:r>
      <w:r w:rsidR="00F83882" w:rsidRPr="007933CA">
        <w:t>;</w:t>
      </w:r>
    </w:p>
    <w:p w:rsidR="00BB3B97" w:rsidRPr="007933CA" w:rsidRDefault="00BB3B97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00824F30" w:rsidRPr="007933CA" w:rsidRDefault="00824F30" w:rsidP="007933CA">
      <w:pPr>
        <w:pStyle w:val="Corpodetexto"/>
        <w:spacing w:line="360" w:lineRule="auto"/>
        <w:ind w:right="-1" w:firstLine="851"/>
        <w:jc w:val="both"/>
      </w:pPr>
      <w:r w:rsidRPr="007933CA">
        <w:rPr>
          <w:b/>
        </w:rPr>
        <w:t xml:space="preserve">CONSIDERANDO </w:t>
      </w:r>
      <w:r w:rsidR="00141966" w:rsidRPr="007933CA">
        <w:t xml:space="preserve">a proximidade de </w:t>
      </w:r>
      <w:r w:rsidR="00B957A5" w:rsidRPr="007933CA">
        <w:t xml:space="preserve">importante </w:t>
      </w:r>
      <w:r w:rsidR="00141966" w:rsidRPr="007933CA">
        <w:t>ocorrência arqueológica</w:t>
      </w:r>
      <w:r w:rsidR="00B957A5" w:rsidRPr="007933CA">
        <w:t xml:space="preserve"> (urna funerária</w:t>
      </w:r>
      <w:r w:rsidR="0044314D" w:rsidRPr="007933CA">
        <w:t>, pré-colonial, relacionada à ocupação de povos originários</w:t>
      </w:r>
      <w:r w:rsidR="00B957A5" w:rsidRPr="007933CA">
        <w:t>)</w:t>
      </w:r>
      <w:r w:rsidR="00141966" w:rsidRPr="007933CA">
        <w:t xml:space="preserve">, </w:t>
      </w:r>
      <w:r w:rsidR="00B957A5" w:rsidRPr="007933CA">
        <w:t>situada na</w:t>
      </w:r>
      <w:r w:rsidR="0044314D" w:rsidRPr="007933CA">
        <w:t>s próximidades da estação da Mooca, conforme cadastro arqueológico do município</w:t>
      </w:r>
      <w:r w:rsidR="00F2279E" w:rsidRPr="007933CA">
        <w:t>, bem como o potencial arqueológico referente à memória industrial e ferroviaria da área</w:t>
      </w:r>
      <w:r w:rsidR="0044314D" w:rsidRPr="007933CA">
        <w:t>;</w:t>
      </w:r>
    </w:p>
    <w:p w:rsidR="00824F30" w:rsidRPr="007933CA" w:rsidRDefault="00824F30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00824F30" w:rsidRPr="007933CA" w:rsidRDefault="00824F30" w:rsidP="007933CA">
      <w:pPr>
        <w:pStyle w:val="Corpodetexto"/>
        <w:spacing w:line="360" w:lineRule="auto"/>
        <w:ind w:right="-1" w:firstLine="851"/>
        <w:jc w:val="both"/>
      </w:pPr>
      <w:r w:rsidRPr="007933CA">
        <w:rPr>
          <w:b/>
        </w:rPr>
        <w:t>CONSIDERANDO</w:t>
      </w:r>
      <w:r w:rsidRPr="007933CA">
        <w:rPr>
          <w:b/>
          <w:spacing w:val="1"/>
        </w:rPr>
        <w:t xml:space="preserve"> </w:t>
      </w:r>
      <w:r w:rsidR="00141966" w:rsidRPr="007933CA">
        <w:t xml:space="preserve">o desaparecimento </w:t>
      </w:r>
      <w:r w:rsidR="007E5A58" w:rsidRPr="007933CA">
        <w:t>total de um dos remanescentes tombados</w:t>
      </w:r>
      <w:r w:rsidR="00FB61C0" w:rsidRPr="007933CA">
        <w:t xml:space="preserve"> pela Resolução 19/Conpresp/2011</w:t>
      </w:r>
      <w:r w:rsidR="007E5A58" w:rsidRPr="007933CA">
        <w:t>, caracterizado como a</w:t>
      </w:r>
      <w:r w:rsidR="00E012DF" w:rsidRPr="007933CA">
        <w:t xml:space="preserve"> fachada da</w:t>
      </w:r>
      <w:r w:rsidR="007E5A58" w:rsidRPr="007933CA">
        <w:t xml:space="preserve"> antiga fachada da </w:t>
      </w:r>
      <w:r w:rsidR="00FB61C0" w:rsidRPr="007933CA">
        <w:t>f</w:t>
      </w:r>
      <w:r w:rsidR="007E5A58" w:rsidRPr="007933CA">
        <w:t xml:space="preserve">ábrica de </w:t>
      </w:r>
      <w:r w:rsidR="00FB61C0" w:rsidRPr="007933CA">
        <w:t>b</w:t>
      </w:r>
      <w:r w:rsidR="007E5A58" w:rsidRPr="007933CA">
        <w:t xml:space="preserve">iscoitos Duchen, voltada para a ferrovia, bem como as sanções </w:t>
      </w:r>
      <w:r w:rsidR="007E5A58" w:rsidRPr="007933CA">
        <w:lastRenderedPageBreak/>
        <w:t xml:space="preserve">decorrentes desta demollição </w:t>
      </w:r>
      <w:r w:rsidR="0044314D" w:rsidRPr="007933CA">
        <w:t>por sua</w:t>
      </w:r>
      <w:r w:rsidR="00141966" w:rsidRPr="007933CA">
        <w:t xml:space="preserve"> extinção e perda </w:t>
      </w:r>
      <w:r w:rsidR="00C34091" w:rsidRPr="007933CA">
        <w:t xml:space="preserve">material </w:t>
      </w:r>
      <w:r w:rsidR="00141966" w:rsidRPr="007933CA">
        <w:t>irreparável</w:t>
      </w:r>
      <w:r w:rsidR="00E012DF" w:rsidRPr="007933CA">
        <w:t>;</w:t>
      </w:r>
    </w:p>
    <w:p w:rsidR="00824F30" w:rsidRPr="007933CA" w:rsidRDefault="00824F30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00D013D6" w:rsidRPr="007933CA" w:rsidRDefault="00824F30" w:rsidP="007933CA">
      <w:pPr>
        <w:pStyle w:val="Corpodetexto"/>
        <w:spacing w:line="360" w:lineRule="auto"/>
        <w:ind w:right="-1" w:firstLine="851"/>
        <w:jc w:val="both"/>
        <w:rPr>
          <w:b/>
        </w:rPr>
      </w:pPr>
      <w:r w:rsidRPr="007933CA">
        <w:rPr>
          <w:b/>
        </w:rPr>
        <w:t xml:space="preserve">CONSIDERANDO </w:t>
      </w:r>
      <w:r w:rsidRPr="007933CA">
        <w:rPr>
          <w:bCs/>
        </w:rPr>
        <w:t>o contido no</w:t>
      </w:r>
      <w:r w:rsidR="00D013D6" w:rsidRPr="007933CA">
        <w:rPr>
          <w:bCs/>
        </w:rPr>
        <w:t>s</w:t>
      </w:r>
      <w:r w:rsidRPr="007933CA">
        <w:rPr>
          <w:bCs/>
        </w:rPr>
        <w:t xml:space="preserve"> processo</w:t>
      </w:r>
      <w:r w:rsidR="00D013D6" w:rsidRPr="007933CA">
        <w:rPr>
          <w:bCs/>
        </w:rPr>
        <w:t>s</w:t>
      </w:r>
      <w:r w:rsidRPr="007933CA">
        <w:rPr>
          <w:bCs/>
        </w:rPr>
        <w:t xml:space="preserve"> administrativo</w:t>
      </w:r>
      <w:r w:rsidR="00D013D6" w:rsidRPr="007933CA">
        <w:rPr>
          <w:bCs/>
        </w:rPr>
        <w:t>s</w:t>
      </w:r>
      <w:r w:rsidRPr="007933CA">
        <w:rPr>
          <w:bCs/>
        </w:rPr>
        <w:t xml:space="preserve"> </w:t>
      </w:r>
      <w:r w:rsidR="00F2279E" w:rsidRPr="007933CA">
        <w:rPr>
          <w:bCs/>
        </w:rPr>
        <w:t>2007-0.203.751-2</w:t>
      </w:r>
      <w:r w:rsidR="004B5BED" w:rsidRPr="007933CA">
        <w:rPr>
          <w:bCs/>
        </w:rPr>
        <w:t xml:space="preserve">, </w:t>
      </w:r>
      <w:r w:rsidRPr="007933CA">
        <w:rPr>
          <w:bCs/>
        </w:rPr>
        <w:t>2017-0.</w:t>
      </w:r>
      <w:r w:rsidR="00D013D6" w:rsidRPr="007933CA">
        <w:rPr>
          <w:bCs/>
        </w:rPr>
        <w:t>016.0168-3</w:t>
      </w:r>
      <w:r w:rsidR="004B5BED" w:rsidRPr="007933CA">
        <w:t xml:space="preserve">, 2017-0.016.173-0, SEI 6025.2019/0016639-1 </w:t>
      </w:r>
      <w:r w:rsidR="00D013D6" w:rsidRPr="007933CA">
        <w:t>e SEI 6025.2021/0015052-9</w:t>
      </w:r>
      <w:r w:rsidRPr="007933CA">
        <w:t>;</w:t>
      </w:r>
      <w:bookmarkStart w:id="0" w:name="_GoBack"/>
      <w:bookmarkEnd w:id="0"/>
    </w:p>
    <w:p w:rsidR="007933CA" w:rsidRPr="007933CA" w:rsidRDefault="007933CA" w:rsidP="007933CA">
      <w:pPr>
        <w:ind w:right="-1" w:firstLine="851"/>
        <w:rPr>
          <w:rFonts w:ascii="Calibri" w:hAnsi="Calibri" w:cs="Calibri"/>
          <w:b/>
        </w:rPr>
      </w:pPr>
    </w:p>
    <w:p w:rsidR="00824F30" w:rsidRPr="007933CA" w:rsidRDefault="00824F30" w:rsidP="007933CA">
      <w:pPr>
        <w:ind w:right="-1" w:firstLine="851"/>
        <w:rPr>
          <w:rFonts w:ascii="Calibri" w:hAnsi="Calibri" w:cs="Calibri"/>
          <w:b/>
        </w:rPr>
      </w:pPr>
      <w:r w:rsidRPr="007933CA">
        <w:rPr>
          <w:rFonts w:ascii="Calibri" w:hAnsi="Calibri" w:cs="Calibri"/>
          <w:b/>
        </w:rPr>
        <w:t>RESOLVE:</w:t>
      </w:r>
    </w:p>
    <w:p w:rsidR="005855BD" w:rsidRPr="007933CA" w:rsidRDefault="005855BD" w:rsidP="007933CA">
      <w:pPr>
        <w:pStyle w:val="Corpodetexto"/>
        <w:spacing w:line="360" w:lineRule="auto"/>
        <w:ind w:right="-1" w:firstLine="851"/>
        <w:jc w:val="both"/>
        <w:rPr>
          <w:b/>
        </w:rPr>
      </w:pPr>
    </w:p>
    <w:p w:rsidR="4B8513D8" w:rsidRPr="007933CA" w:rsidRDefault="4B8513D8" w:rsidP="007933CA">
      <w:pPr>
        <w:spacing w:after="120"/>
        <w:ind w:firstLine="851"/>
        <w:rPr>
          <w:rFonts w:ascii="Calibri" w:eastAsia="Calibri" w:hAnsi="Calibri" w:cs="Calibri"/>
          <w:lang w:val="pt-PT"/>
        </w:rPr>
      </w:pPr>
      <w:r w:rsidRPr="007933CA">
        <w:rPr>
          <w:rFonts w:ascii="Calibri" w:eastAsia="Calibri" w:hAnsi="Calibri" w:cs="Calibri"/>
          <w:b/>
          <w:bCs/>
          <w:lang w:val="pt-PT"/>
        </w:rPr>
        <w:t>Artigo 1º</w:t>
      </w:r>
      <w:r w:rsidRPr="007933CA">
        <w:rPr>
          <w:rFonts w:ascii="Calibri" w:eastAsia="Calibri" w:hAnsi="Calibri" w:cs="Calibri"/>
          <w:lang w:val="pt-PT"/>
        </w:rPr>
        <w:t xml:space="preserve"> - Excluir do tombamento previsto na Resolução 19/CONPRESP/2011 os remanescentes de fachada dos antigos galpões fabris das Indústrias Reunidas Francisco Matarazzo e Société Anonyme Anciens Établissements Duchen que se situava no lote 0322‐9. </w:t>
      </w:r>
    </w:p>
    <w:p w:rsidR="4B8513D8" w:rsidRPr="007933CA" w:rsidRDefault="4B8513D8" w:rsidP="007933CA">
      <w:pPr>
        <w:spacing w:after="120"/>
        <w:ind w:firstLine="851"/>
        <w:rPr>
          <w:rFonts w:ascii="Calibri" w:eastAsia="Calibri" w:hAnsi="Calibri" w:cs="Calibri"/>
          <w:lang w:val="pt-PT"/>
        </w:rPr>
      </w:pPr>
      <w:r w:rsidRPr="007933CA">
        <w:rPr>
          <w:rFonts w:ascii="Calibri" w:eastAsia="Calibri" w:hAnsi="Calibri" w:cs="Calibri"/>
          <w:b/>
          <w:bCs/>
          <w:lang w:val="pt-PT"/>
        </w:rPr>
        <w:t>Parágrafo único</w:t>
      </w:r>
      <w:r w:rsidRPr="007933CA">
        <w:rPr>
          <w:rFonts w:ascii="Calibri" w:eastAsia="Calibri" w:hAnsi="Calibri" w:cs="Calibri"/>
          <w:lang w:val="pt-PT"/>
        </w:rPr>
        <w:t>. A exclusão prevista no caput deste artigo não prejudica a aplicação da multa pela demolição da referida fachada.</w:t>
      </w:r>
    </w:p>
    <w:p w:rsidR="005855BD" w:rsidRPr="007933CA" w:rsidRDefault="005855BD" w:rsidP="007933CA">
      <w:pPr>
        <w:spacing w:after="120"/>
        <w:ind w:firstLine="851"/>
        <w:rPr>
          <w:i/>
          <w:color w:val="000000" w:themeColor="text1"/>
          <w:lang w:val="pt-PT"/>
        </w:rPr>
      </w:pPr>
      <w:r w:rsidRPr="007933CA">
        <w:rPr>
          <w:rFonts w:ascii="Calibri" w:eastAsia="Calibri" w:hAnsi="Calibri" w:cs="Calibri"/>
          <w:b/>
          <w:bCs/>
          <w:lang w:val="pt-PT"/>
        </w:rPr>
        <w:t>Artigo 2º</w:t>
      </w:r>
      <w:r w:rsidRPr="007933CA">
        <w:rPr>
          <w:rFonts w:ascii="Calibri" w:eastAsia="Calibri" w:hAnsi="Calibri" w:cs="Calibri"/>
          <w:lang w:val="pt-PT"/>
        </w:rPr>
        <w:t xml:space="preserve"> - </w:t>
      </w:r>
      <w:r w:rsidR="4B8513D8" w:rsidRPr="007933CA">
        <w:rPr>
          <w:rFonts w:ascii="Calibri" w:eastAsia="Calibri" w:hAnsi="Calibri" w:cs="Calibri"/>
          <w:lang w:val="pt-PT"/>
        </w:rPr>
        <w:t>O artigo 1º da Resolução 19/CONPRESP/2011 passa a vigorar com as seguintes alterações:</w:t>
      </w:r>
    </w:p>
    <w:p w:rsidR="005855BD" w:rsidRPr="007933CA" w:rsidRDefault="005855BD" w:rsidP="007933CA">
      <w:pPr>
        <w:spacing w:after="120"/>
        <w:ind w:firstLine="851"/>
        <w:rPr>
          <w:rFonts w:ascii="Calibri" w:eastAsia="Calibri" w:hAnsi="Calibri" w:cs="Calibri"/>
          <w:i/>
          <w:iCs/>
          <w:lang w:val="pt-PT"/>
        </w:rPr>
      </w:pPr>
      <w:r w:rsidRPr="007933CA">
        <w:rPr>
          <w:rFonts w:ascii="Calibri" w:eastAsia="Calibri" w:hAnsi="Calibri" w:cs="Calibri"/>
          <w:i/>
          <w:iCs/>
          <w:lang w:val="pt-PT"/>
        </w:rPr>
        <w:t>“Artigo 1º - Tombar os elementos remanescentes de arquitetura industrial, localizados no imóvel que abrigou as antigas Indústrias Reunidas Francisco Matarazzo, Société Anonyme Anciens Établissements Duchen e Companhia Fiat Lux, situados à Rua Borges de Figueiredo nºs 696 a 826 (Setor 028, Quadra 046, Lotes 0320-2, 0321-0 e 0322-9), Bairro e Subprefeitura da Mooca, conforme a seguinte descrição: (NR)</w:t>
      </w:r>
    </w:p>
    <w:p w:rsidR="005855BD" w:rsidRPr="007933CA" w:rsidRDefault="005855BD" w:rsidP="007933CA">
      <w:pPr>
        <w:spacing w:after="120"/>
        <w:ind w:left="708" w:firstLine="851"/>
        <w:rPr>
          <w:i/>
          <w:iCs/>
          <w:lang w:val="pt-PT"/>
        </w:rPr>
      </w:pPr>
      <w:r w:rsidRPr="007933CA">
        <w:rPr>
          <w:rFonts w:ascii="Calibri" w:eastAsia="Calibri" w:hAnsi="Calibri" w:cs="Calibri"/>
          <w:i/>
          <w:iCs/>
          <w:lang w:val="pt-PT"/>
        </w:rPr>
        <w:t>1. Elementos arquitetônicos remanescentes de galpão da antiga fábrica de fósforos da Companhia Fiat Lux, incluindo seu sistema estrutural e construtivo, como pilares, tesouras de madeira e seus sistemas, coberturas e demais elementos arquitetônicos remanescentes, conforme levantamentos realizados in loco, situados no lote 0320-2; (NR)</w:t>
      </w:r>
    </w:p>
    <w:p w:rsidR="005855BD" w:rsidRPr="007933CA" w:rsidRDefault="005855BD" w:rsidP="007933CA">
      <w:pPr>
        <w:spacing w:after="120"/>
        <w:ind w:left="708" w:firstLine="851"/>
        <w:rPr>
          <w:i/>
          <w:iCs/>
          <w:lang w:val="pt-PT"/>
        </w:rPr>
      </w:pPr>
      <w:r w:rsidRPr="007933CA">
        <w:rPr>
          <w:rFonts w:ascii="Calibri" w:eastAsia="Calibri" w:hAnsi="Calibri" w:cs="Calibri"/>
          <w:i/>
          <w:iCs/>
          <w:lang w:val="pt-PT"/>
        </w:rPr>
        <w:lastRenderedPageBreak/>
        <w:t>2. Chaminé datada de 1911, projetada por Otto Nilsson, que compõe o conjunto das antigas instalações da Companhia Fiat Lux, situada no lote 0320-2; (NR)</w:t>
      </w:r>
    </w:p>
    <w:p w:rsidR="005855BD" w:rsidRPr="007933CA" w:rsidRDefault="005855BD" w:rsidP="007933CA">
      <w:pPr>
        <w:spacing w:after="120"/>
        <w:ind w:left="708" w:firstLine="851"/>
        <w:rPr>
          <w:i/>
          <w:iCs/>
          <w:lang w:val="pt-PT"/>
        </w:rPr>
      </w:pPr>
      <w:r w:rsidRPr="007933CA">
        <w:rPr>
          <w:rFonts w:ascii="Calibri" w:eastAsia="Calibri" w:hAnsi="Calibri" w:cs="Calibri"/>
          <w:i/>
          <w:iCs/>
          <w:lang w:val="pt-PT"/>
        </w:rPr>
        <w:t>3. Remanescentes do muro de fecho de tijolos, voltado para a linha férrea da CPTM, que perpassa os lotes 0321-0 e 0322-9. (NR)</w:t>
      </w:r>
    </w:p>
    <w:p w:rsidR="4B8513D8" w:rsidRDefault="4B8513D8" w:rsidP="007933CA">
      <w:pPr>
        <w:spacing w:after="120"/>
        <w:ind w:firstLine="851"/>
        <w:rPr>
          <w:rFonts w:ascii="Calibri" w:eastAsia="Calibri" w:hAnsi="Calibri" w:cs="Calibri"/>
          <w:iCs/>
          <w:lang w:val="pt-PT"/>
        </w:rPr>
      </w:pPr>
      <w:r w:rsidRPr="007933CA">
        <w:rPr>
          <w:rFonts w:ascii="Calibri" w:eastAsia="Calibri" w:hAnsi="Calibri" w:cs="Calibri"/>
          <w:iCs/>
          <w:lang w:val="pt-PT"/>
        </w:rPr>
        <w:t>Parágrafo único. Visando à preservação do patrimônio arqueológico, qualquer intervenção na área coincidente com os lotes 0320‐2, 0321‐0 e 0322‐9, deverá se previamente submetida à apreciação do Centro de Arqueologia de São Paulo (CASP), do Departamento do Patrimônio Histórico (DPH) e à aprovação do CONPRESP. “</w:t>
      </w:r>
    </w:p>
    <w:p w:rsidR="007933CA" w:rsidRPr="007933CA" w:rsidRDefault="007933CA" w:rsidP="007933CA">
      <w:pPr>
        <w:spacing w:after="120"/>
        <w:ind w:firstLine="851"/>
        <w:rPr>
          <w:rFonts w:ascii="Calibri" w:eastAsia="Calibri" w:hAnsi="Calibri" w:cs="Calibri"/>
          <w:iCs/>
          <w:lang w:val="pt-PT"/>
        </w:rPr>
      </w:pPr>
    </w:p>
    <w:p w:rsidR="4B8513D8" w:rsidRDefault="4B8513D8" w:rsidP="007933CA">
      <w:pPr>
        <w:ind w:firstLine="851"/>
        <w:rPr>
          <w:rFonts w:ascii="Calibri" w:eastAsia="Calibri" w:hAnsi="Calibri" w:cs="Calibri"/>
          <w:lang w:val="pt-PT"/>
        </w:rPr>
      </w:pPr>
      <w:r w:rsidRPr="007933CA">
        <w:rPr>
          <w:rFonts w:ascii="Calibri" w:eastAsia="Calibri" w:hAnsi="Calibri" w:cs="Calibri"/>
          <w:b/>
          <w:bCs/>
          <w:lang w:val="pt-PT"/>
        </w:rPr>
        <w:t>Artigo 3º</w:t>
      </w:r>
      <w:r w:rsidRPr="007933CA">
        <w:rPr>
          <w:rFonts w:ascii="Calibri" w:eastAsia="Calibri" w:hAnsi="Calibri" w:cs="Calibri"/>
          <w:lang w:val="pt-PT"/>
        </w:rPr>
        <w:t xml:space="preserve"> - O mapa anexo à Resolução 19/CONPRESP/2011 passa a vigorar com a exclusão do remanescente da fachada de que trata o artigo 1º desta Resolução.</w:t>
      </w:r>
    </w:p>
    <w:p w:rsidR="007933CA" w:rsidRPr="007933CA" w:rsidRDefault="007933CA" w:rsidP="007933CA">
      <w:pPr>
        <w:ind w:firstLine="851"/>
        <w:rPr>
          <w:rFonts w:ascii="Calibri" w:eastAsia="Calibri" w:hAnsi="Calibri" w:cs="Calibri"/>
          <w:lang w:val="pt-PT"/>
        </w:rPr>
      </w:pPr>
    </w:p>
    <w:p w:rsidR="4B8513D8" w:rsidRPr="007933CA" w:rsidRDefault="4B8513D8" w:rsidP="007933CA">
      <w:pPr>
        <w:ind w:firstLine="851"/>
        <w:rPr>
          <w:rFonts w:ascii="Calibri" w:eastAsia="Calibri" w:hAnsi="Calibri" w:cs="Calibri"/>
          <w:lang w:val="pt-PT"/>
        </w:rPr>
      </w:pPr>
      <w:r w:rsidRPr="007933CA">
        <w:rPr>
          <w:rFonts w:ascii="Calibri" w:eastAsia="Calibri" w:hAnsi="Calibri" w:cs="Calibri"/>
          <w:b/>
          <w:bCs/>
          <w:lang w:val="pt-PT"/>
        </w:rPr>
        <w:t>Artigo 4º</w:t>
      </w:r>
      <w:r w:rsidRPr="007933CA">
        <w:rPr>
          <w:rFonts w:ascii="Calibri" w:eastAsia="Calibri" w:hAnsi="Calibri" w:cs="Calibri"/>
          <w:lang w:val="pt-PT"/>
        </w:rPr>
        <w:t xml:space="preserve"> - Esta Resolução entrará em vigor na data de sua publicação.</w:t>
      </w:r>
    </w:p>
    <w:p w:rsidR="00BD5AA4" w:rsidRDefault="00BD5AA4" w:rsidP="007933CA">
      <w:pPr>
        <w:spacing w:after="120"/>
        <w:rPr>
          <w:rFonts w:ascii="Calibri" w:eastAsia="Calibri" w:hAnsi="Calibri" w:cs="Calibri"/>
          <w:lang w:val="pt-PT"/>
        </w:rPr>
      </w:pPr>
    </w:p>
    <w:p w:rsidR="00952DD3" w:rsidRPr="00F26BF3" w:rsidRDefault="00952DD3" w:rsidP="00952DD3">
      <w:pPr>
        <w:ind w:firstLine="0"/>
        <w:rPr>
          <w:rFonts w:asciiTheme="minorHAnsi" w:hAnsiTheme="minorHAnsi" w:cs="TimesNewRomanPSMT"/>
        </w:rPr>
      </w:pPr>
      <w:r>
        <w:rPr>
          <w:rFonts w:ascii="Calibri" w:hAnsi="Calibri" w:cs="Arial"/>
        </w:rPr>
        <w:t>DOC 16</w:t>
      </w:r>
      <w:r w:rsidRPr="00F26BF3">
        <w:rPr>
          <w:rFonts w:ascii="Calibri" w:hAnsi="Calibri" w:cs="Arial"/>
        </w:rPr>
        <w:t>/</w:t>
      </w:r>
      <w:r>
        <w:rPr>
          <w:rFonts w:ascii="Calibri" w:hAnsi="Calibri" w:cs="Arial"/>
        </w:rPr>
        <w:t>03</w:t>
      </w:r>
      <w:r w:rsidRPr="00F26BF3">
        <w:rPr>
          <w:rFonts w:ascii="Calibri" w:hAnsi="Calibri" w:cs="Arial"/>
        </w:rPr>
        <w:t>/202</w:t>
      </w:r>
      <w:r>
        <w:rPr>
          <w:rFonts w:ascii="Calibri" w:hAnsi="Calibri" w:cs="Arial"/>
        </w:rPr>
        <w:t>2</w:t>
      </w:r>
      <w:r w:rsidRPr="00F26BF3">
        <w:rPr>
          <w:rFonts w:ascii="Calibri" w:hAnsi="Calibri" w:cs="Arial"/>
        </w:rPr>
        <w:t xml:space="preserve"> – PÁG. 1</w:t>
      </w:r>
      <w:r>
        <w:rPr>
          <w:rFonts w:ascii="Calibri" w:hAnsi="Calibri" w:cs="Arial"/>
        </w:rPr>
        <w:t>6</w:t>
      </w:r>
    </w:p>
    <w:p w:rsidR="00952DD3" w:rsidRPr="007933CA" w:rsidRDefault="00952DD3" w:rsidP="007933CA">
      <w:pPr>
        <w:spacing w:after="120"/>
        <w:rPr>
          <w:rFonts w:ascii="Calibri" w:eastAsia="Calibri" w:hAnsi="Calibri" w:cs="Calibri"/>
          <w:lang w:val="pt-PT"/>
        </w:rPr>
      </w:pPr>
    </w:p>
    <w:sectPr w:rsidR="00952DD3" w:rsidRPr="007933CA" w:rsidSect="00F26EF3">
      <w:headerReference w:type="default" r:id="rId8"/>
      <w:pgSz w:w="11906" w:h="16838"/>
      <w:pgMar w:top="2410" w:right="1701" w:bottom="1417" w:left="1701" w:header="708" w:footer="708" w:gutter="0"/>
      <w:pgNumType w:start="1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29" w:rsidRDefault="005B5F29" w:rsidP="00F74E05">
      <w:pPr>
        <w:spacing w:line="240" w:lineRule="auto"/>
      </w:pPr>
      <w:r>
        <w:separator/>
      </w:r>
    </w:p>
  </w:endnote>
  <w:endnote w:type="continuationSeparator" w:id="0">
    <w:p w:rsidR="005B5F29" w:rsidRDefault="005B5F29" w:rsidP="00F74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29" w:rsidRDefault="005B5F29" w:rsidP="00F74E05">
      <w:pPr>
        <w:spacing w:line="240" w:lineRule="auto"/>
      </w:pPr>
      <w:r>
        <w:separator/>
      </w:r>
    </w:p>
  </w:footnote>
  <w:footnote w:type="continuationSeparator" w:id="0">
    <w:p w:rsidR="005B5F29" w:rsidRDefault="005B5F29" w:rsidP="00F74E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276" w:type="dxa"/>
      <w:tblCellMar>
        <w:left w:w="70" w:type="dxa"/>
        <w:right w:w="70" w:type="dxa"/>
      </w:tblCellMar>
      <w:tblLook w:val="0000"/>
    </w:tblPr>
    <w:tblGrid>
      <w:gridCol w:w="10065"/>
      <w:gridCol w:w="1276"/>
    </w:tblGrid>
    <w:tr w:rsidR="00CE5592" w:rsidRPr="00633F34" w:rsidTr="00F26EF3">
      <w:trPr>
        <w:trHeight w:val="794"/>
      </w:trPr>
      <w:tc>
        <w:tcPr>
          <w:tcW w:w="10065" w:type="dxa"/>
        </w:tcPr>
        <w:p w:rsidR="00023B59" w:rsidRPr="00023B59" w:rsidRDefault="00023B59" w:rsidP="00F26EF3">
          <w:pPr>
            <w:pStyle w:val="Cabealho"/>
            <w:tabs>
              <w:tab w:val="clear" w:pos="4252"/>
              <w:tab w:val="clear" w:pos="8504"/>
              <w:tab w:val="center" w:pos="3472"/>
            </w:tabs>
            <w:ind w:firstLine="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23B59">
            <w:rPr>
              <w:rFonts w:asciiTheme="minorHAnsi" w:hAnsiTheme="minorHAnsi" w:cstheme="minorHAnsi"/>
              <w:b/>
              <w:sz w:val="28"/>
              <w:szCs w:val="28"/>
            </w:rPr>
            <w:t>PREFEITURA DO MUNICÍPIO DE SÃO PAULO</w:t>
          </w:r>
        </w:p>
        <w:p w:rsidR="00023B59" w:rsidRPr="00023B59" w:rsidRDefault="00023B59" w:rsidP="00F26EF3">
          <w:pPr>
            <w:pStyle w:val="Cabealho"/>
            <w:tabs>
              <w:tab w:val="clear" w:pos="4252"/>
              <w:tab w:val="clear" w:pos="8504"/>
              <w:tab w:val="center" w:pos="3472"/>
            </w:tabs>
            <w:ind w:firstLine="0"/>
            <w:jc w:val="center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023B59">
            <w:rPr>
              <w:rFonts w:asciiTheme="minorHAnsi" w:hAnsiTheme="minorHAnsi" w:cstheme="minorHAnsi"/>
              <w:b/>
              <w:sz w:val="26"/>
              <w:szCs w:val="26"/>
            </w:rPr>
            <w:t>SECRETARIA MUNICIPAL DE CULTURA</w:t>
          </w:r>
        </w:p>
        <w:p w:rsidR="00023B59" w:rsidRDefault="00023B59" w:rsidP="00F26EF3">
          <w:pPr>
            <w:pStyle w:val="Cabealho"/>
            <w:tabs>
              <w:tab w:val="clear" w:pos="4252"/>
              <w:tab w:val="clear" w:pos="8504"/>
              <w:tab w:val="center" w:pos="3472"/>
              <w:tab w:val="right" w:pos="8931"/>
            </w:tabs>
            <w:ind w:firstLine="0"/>
            <w:jc w:val="center"/>
            <w:rPr>
              <w:rFonts w:asciiTheme="minorHAnsi" w:hAnsiTheme="minorHAnsi" w:cstheme="minorHAnsi"/>
              <w:b/>
            </w:rPr>
          </w:pPr>
          <w:r w:rsidRPr="00023B59">
            <w:rPr>
              <w:rFonts w:asciiTheme="minorHAnsi" w:hAnsiTheme="minorHAnsi" w:cstheme="minorHAnsi"/>
              <w:b/>
            </w:rPr>
            <w:t>DEPARTAMENTO DO PATRIMÔNIO HISTÓRICO</w:t>
          </w:r>
        </w:p>
        <w:p w:rsidR="00CE5592" w:rsidRPr="00987BB9" w:rsidRDefault="00987BB9" w:rsidP="005265AF">
          <w:pPr>
            <w:spacing w:line="240" w:lineRule="auto"/>
            <w:ind w:firstLine="0"/>
            <w:jc w:val="right"/>
            <w:rPr>
              <w:rFonts w:ascii="Tahoma" w:hAnsi="Tahoma"/>
              <w:b/>
              <w:color w:val="000000"/>
              <w:sz w:val="18"/>
            </w:rPr>
          </w:pPr>
          <w:r w:rsidRPr="00023B59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33350" distR="117475" simplePos="0" relativeHeight="2516592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-742950</wp:posOffset>
                </wp:positionV>
                <wp:extent cx="720725" cy="733425"/>
                <wp:effectExtent l="0" t="0" r="3175" b="9525"/>
                <wp:wrapTight wrapText="bothSides">
                  <wp:wrapPolygon edited="0">
                    <wp:start x="0" y="0"/>
                    <wp:lineTo x="0" y="21319"/>
                    <wp:lineTo x="21124" y="21319"/>
                    <wp:lineTo x="21124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265AF" w:rsidRPr="00987BB9">
            <w:rPr>
              <w:rFonts w:ascii="Tahoma" w:hAnsi="Tahoma"/>
              <w:b/>
              <w:color w:val="000000"/>
              <w:sz w:val="18"/>
              <w:szCs w:val="22"/>
            </w:rPr>
            <w:t xml:space="preserve">             </w:t>
          </w:r>
        </w:p>
        <w:p w:rsidR="005265AF" w:rsidRPr="00633F34" w:rsidRDefault="005265AF" w:rsidP="00633F34">
          <w:pPr>
            <w:autoSpaceDE/>
            <w:autoSpaceDN/>
            <w:adjustRightInd/>
            <w:spacing w:line="240" w:lineRule="auto"/>
            <w:ind w:firstLine="0"/>
            <w:jc w:val="left"/>
            <w:rPr>
              <w:rFonts w:ascii="Arial" w:hAnsi="Arial" w:cs="Arial"/>
              <w:b/>
              <w:bCs/>
              <w:sz w:val="20"/>
              <w:szCs w:val="20"/>
              <w:lang w:eastAsia="pt-BR"/>
            </w:rPr>
          </w:pPr>
        </w:p>
      </w:tc>
      <w:tc>
        <w:tcPr>
          <w:tcW w:w="1276" w:type="dxa"/>
        </w:tcPr>
        <w:p w:rsidR="00CE5592" w:rsidRPr="00633F34" w:rsidRDefault="00CE5592" w:rsidP="00633F34">
          <w:pPr>
            <w:autoSpaceDE/>
            <w:autoSpaceDN/>
            <w:adjustRightInd/>
            <w:spacing w:line="360" w:lineRule="exact"/>
            <w:ind w:firstLine="0"/>
            <w:jc w:val="center"/>
            <w:rPr>
              <w:rFonts w:ascii="Arial" w:hAnsi="Arial" w:cs="Arial"/>
              <w:b/>
              <w:bCs/>
              <w:sz w:val="20"/>
              <w:szCs w:val="20"/>
              <w:lang w:eastAsia="pt-BR"/>
            </w:rPr>
          </w:pPr>
        </w:p>
      </w:tc>
    </w:tr>
  </w:tbl>
  <w:p w:rsidR="00CE5592" w:rsidRDefault="00CE5592" w:rsidP="00F26E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5D1F"/>
    <w:multiLevelType w:val="hybridMultilevel"/>
    <w:tmpl w:val="8948F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337C"/>
    <w:multiLevelType w:val="hybridMultilevel"/>
    <w:tmpl w:val="2EFE3AEE"/>
    <w:lvl w:ilvl="0" w:tplc="37E0F31E">
      <w:start w:val="1"/>
      <w:numFmt w:val="decimal"/>
      <w:pStyle w:val="Ttulo1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6D2C02"/>
    <w:multiLevelType w:val="hybridMultilevel"/>
    <w:tmpl w:val="04B27D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EE416B"/>
    <w:multiLevelType w:val="hybridMultilevel"/>
    <w:tmpl w:val="F1CA8E96"/>
    <w:lvl w:ilvl="0" w:tplc="779AB4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03DD"/>
    <w:rsid w:val="00000ED1"/>
    <w:rsid w:val="0000645F"/>
    <w:rsid w:val="0000783C"/>
    <w:rsid w:val="00007F4F"/>
    <w:rsid w:val="0001083A"/>
    <w:rsid w:val="000152C3"/>
    <w:rsid w:val="00017B85"/>
    <w:rsid w:val="00021D54"/>
    <w:rsid w:val="00023B59"/>
    <w:rsid w:val="00050058"/>
    <w:rsid w:val="000642F4"/>
    <w:rsid w:val="00077BBA"/>
    <w:rsid w:val="0008239A"/>
    <w:rsid w:val="000A3D6E"/>
    <w:rsid w:val="000A6A07"/>
    <w:rsid w:val="000B42EA"/>
    <w:rsid w:val="000B6220"/>
    <w:rsid w:val="000D1143"/>
    <w:rsid w:val="000E74C8"/>
    <w:rsid w:val="001070D1"/>
    <w:rsid w:val="00110EB0"/>
    <w:rsid w:val="001226D7"/>
    <w:rsid w:val="00123F17"/>
    <w:rsid w:val="00141966"/>
    <w:rsid w:val="00143C27"/>
    <w:rsid w:val="001457FA"/>
    <w:rsid w:val="0015593D"/>
    <w:rsid w:val="00172BFF"/>
    <w:rsid w:val="001776FC"/>
    <w:rsid w:val="00186018"/>
    <w:rsid w:val="001933DD"/>
    <w:rsid w:val="00195CCC"/>
    <w:rsid w:val="001A06DC"/>
    <w:rsid w:val="001A5362"/>
    <w:rsid w:val="001B247E"/>
    <w:rsid w:val="001C0A27"/>
    <w:rsid w:val="001D2DA6"/>
    <w:rsid w:val="001E2648"/>
    <w:rsid w:val="001F46D3"/>
    <w:rsid w:val="00221571"/>
    <w:rsid w:val="002446E4"/>
    <w:rsid w:val="00267372"/>
    <w:rsid w:val="002703DD"/>
    <w:rsid w:val="00291D92"/>
    <w:rsid w:val="00292178"/>
    <w:rsid w:val="00296B25"/>
    <w:rsid w:val="002A6CC7"/>
    <w:rsid w:val="002B1289"/>
    <w:rsid w:val="002B3008"/>
    <w:rsid w:val="002C0F5A"/>
    <w:rsid w:val="002C39C6"/>
    <w:rsid w:val="002D2DEE"/>
    <w:rsid w:val="002E2279"/>
    <w:rsid w:val="002E4152"/>
    <w:rsid w:val="002F7EEE"/>
    <w:rsid w:val="00305648"/>
    <w:rsid w:val="00305E83"/>
    <w:rsid w:val="0031401A"/>
    <w:rsid w:val="0031704F"/>
    <w:rsid w:val="00331E6B"/>
    <w:rsid w:val="00344AF9"/>
    <w:rsid w:val="0034684A"/>
    <w:rsid w:val="00351170"/>
    <w:rsid w:val="003519DB"/>
    <w:rsid w:val="00351E84"/>
    <w:rsid w:val="00354458"/>
    <w:rsid w:val="003549C4"/>
    <w:rsid w:val="0037360E"/>
    <w:rsid w:val="0038127F"/>
    <w:rsid w:val="003A03A9"/>
    <w:rsid w:val="003A5117"/>
    <w:rsid w:val="003A5A50"/>
    <w:rsid w:val="003B781E"/>
    <w:rsid w:val="003C3410"/>
    <w:rsid w:val="003C674F"/>
    <w:rsid w:val="003E7EDA"/>
    <w:rsid w:val="003F58BB"/>
    <w:rsid w:val="003F7C8A"/>
    <w:rsid w:val="004020FF"/>
    <w:rsid w:val="00402553"/>
    <w:rsid w:val="00402A4E"/>
    <w:rsid w:val="00410803"/>
    <w:rsid w:val="00421336"/>
    <w:rsid w:val="0043516F"/>
    <w:rsid w:val="0044314D"/>
    <w:rsid w:val="00445137"/>
    <w:rsid w:val="00445374"/>
    <w:rsid w:val="00447615"/>
    <w:rsid w:val="00453987"/>
    <w:rsid w:val="004963C7"/>
    <w:rsid w:val="004A0D44"/>
    <w:rsid w:val="004B5BED"/>
    <w:rsid w:val="004C00E4"/>
    <w:rsid w:val="004D32B8"/>
    <w:rsid w:val="004D45C9"/>
    <w:rsid w:val="004E2D08"/>
    <w:rsid w:val="004E4400"/>
    <w:rsid w:val="00511E3F"/>
    <w:rsid w:val="00525D28"/>
    <w:rsid w:val="005265AF"/>
    <w:rsid w:val="00527C70"/>
    <w:rsid w:val="005316B8"/>
    <w:rsid w:val="00532F5F"/>
    <w:rsid w:val="00543A67"/>
    <w:rsid w:val="005762BE"/>
    <w:rsid w:val="005855BD"/>
    <w:rsid w:val="00587342"/>
    <w:rsid w:val="005921B3"/>
    <w:rsid w:val="00592B8A"/>
    <w:rsid w:val="00595EA5"/>
    <w:rsid w:val="005A2E79"/>
    <w:rsid w:val="005B5F29"/>
    <w:rsid w:val="005B6B3B"/>
    <w:rsid w:val="005C327F"/>
    <w:rsid w:val="005D526D"/>
    <w:rsid w:val="005E47C6"/>
    <w:rsid w:val="005E7620"/>
    <w:rsid w:val="005F04B3"/>
    <w:rsid w:val="005F3586"/>
    <w:rsid w:val="005F4BC5"/>
    <w:rsid w:val="005F7040"/>
    <w:rsid w:val="00603CA1"/>
    <w:rsid w:val="006043C5"/>
    <w:rsid w:val="006202A0"/>
    <w:rsid w:val="00633F34"/>
    <w:rsid w:val="0063467B"/>
    <w:rsid w:val="00645821"/>
    <w:rsid w:val="00651B29"/>
    <w:rsid w:val="0065582D"/>
    <w:rsid w:val="006602FF"/>
    <w:rsid w:val="00664F09"/>
    <w:rsid w:val="00665E5B"/>
    <w:rsid w:val="00676735"/>
    <w:rsid w:val="0068228D"/>
    <w:rsid w:val="00685A73"/>
    <w:rsid w:val="006A3A23"/>
    <w:rsid w:val="006B13DE"/>
    <w:rsid w:val="006B1FC5"/>
    <w:rsid w:val="006C0A1F"/>
    <w:rsid w:val="006C2850"/>
    <w:rsid w:val="006C6761"/>
    <w:rsid w:val="006D53E9"/>
    <w:rsid w:val="006F127A"/>
    <w:rsid w:val="0070247D"/>
    <w:rsid w:val="007025E4"/>
    <w:rsid w:val="00710BB6"/>
    <w:rsid w:val="00712095"/>
    <w:rsid w:val="007261E8"/>
    <w:rsid w:val="00726545"/>
    <w:rsid w:val="00737906"/>
    <w:rsid w:val="007470E8"/>
    <w:rsid w:val="00750FC6"/>
    <w:rsid w:val="00767FD3"/>
    <w:rsid w:val="00772AA0"/>
    <w:rsid w:val="00776FC8"/>
    <w:rsid w:val="00791FB5"/>
    <w:rsid w:val="007933CA"/>
    <w:rsid w:val="007C687D"/>
    <w:rsid w:val="007E5A58"/>
    <w:rsid w:val="007F039D"/>
    <w:rsid w:val="007F041D"/>
    <w:rsid w:val="007F1492"/>
    <w:rsid w:val="007F15C4"/>
    <w:rsid w:val="007F6214"/>
    <w:rsid w:val="007F6A6B"/>
    <w:rsid w:val="00800582"/>
    <w:rsid w:val="0082080C"/>
    <w:rsid w:val="00824F30"/>
    <w:rsid w:val="00836ED2"/>
    <w:rsid w:val="00837252"/>
    <w:rsid w:val="008445EF"/>
    <w:rsid w:val="0085364A"/>
    <w:rsid w:val="008565CA"/>
    <w:rsid w:val="0086267C"/>
    <w:rsid w:val="008806AE"/>
    <w:rsid w:val="0088105C"/>
    <w:rsid w:val="008A0A80"/>
    <w:rsid w:val="008A0B00"/>
    <w:rsid w:val="008A0E7D"/>
    <w:rsid w:val="008A380D"/>
    <w:rsid w:val="008A6363"/>
    <w:rsid w:val="008A693B"/>
    <w:rsid w:val="008B24DC"/>
    <w:rsid w:val="008C431E"/>
    <w:rsid w:val="008D7E73"/>
    <w:rsid w:val="008E3EC8"/>
    <w:rsid w:val="008E41C6"/>
    <w:rsid w:val="008E5522"/>
    <w:rsid w:val="00907F77"/>
    <w:rsid w:val="00910A67"/>
    <w:rsid w:val="00923CBD"/>
    <w:rsid w:val="009337B6"/>
    <w:rsid w:val="00934364"/>
    <w:rsid w:val="00952DD3"/>
    <w:rsid w:val="009669BC"/>
    <w:rsid w:val="009724F4"/>
    <w:rsid w:val="00981A95"/>
    <w:rsid w:val="00987BB9"/>
    <w:rsid w:val="009A3252"/>
    <w:rsid w:val="009B2F79"/>
    <w:rsid w:val="009B6911"/>
    <w:rsid w:val="009C7D03"/>
    <w:rsid w:val="009D1B77"/>
    <w:rsid w:val="009F22F8"/>
    <w:rsid w:val="00A01DCD"/>
    <w:rsid w:val="00A05F10"/>
    <w:rsid w:val="00A06B62"/>
    <w:rsid w:val="00A471BA"/>
    <w:rsid w:val="00A47BEA"/>
    <w:rsid w:val="00A5268F"/>
    <w:rsid w:val="00A536C2"/>
    <w:rsid w:val="00A56CD6"/>
    <w:rsid w:val="00A70FD2"/>
    <w:rsid w:val="00A94158"/>
    <w:rsid w:val="00A9466E"/>
    <w:rsid w:val="00AC0CB0"/>
    <w:rsid w:val="00AE06DE"/>
    <w:rsid w:val="00AE6614"/>
    <w:rsid w:val="00B13A65"/>
    <w:rsid w:val="00B16A61"/>
    <w:rsid w:val="00B304A8"/>
    <w:rsid w:val="00B30BD0"/>
    <w:rsid w:val="00B36113"/>
    <w:rsid w:val="00B40A87"/>
    <w:rsid w:val="00B53BFC"/>
    <w:rsid w:val="00B57AFA"/>
    <w:rsid w:val="00B61993"/>
    <w:rsid w:val="00B801E8"/>
    <w:rsid w:val="00B86FA7"/>
    <w:rsid w:val="00B9149A"/>
    <w:rsid w:val="00B957A5"/>
    <w:rsid w:val="00BA0EEB"/>
    <w:rsid w:val="00BA38C8"/>
    <w:rsid w:val="00BA6627"/>
    <w:rsid w:val="00BB1629"/>
    <w:rsid w:val="00BB32EA"/>
    <w:rsid w:val="00BB3B97"/>
    <w:rsid w:val="00BB67FF"/>
    <w:rsid w:val="00BB7FD3"/>
    <w:rsid w:val="00BC1C0C"/>
    <w:rsid w:val="00BC7D20"/>
    <w:rsid w:val="00BD4EEE"/>
    <w:rsid w:val="00BD5AA4"/>
    <w:rsid w:val="00BD7BF1"/>
    <w:rsid w:val="00BD7E0F"/>
    <w:rsid w:val="00BE030E"/>
    <w:rsid w:val="00BE045A"/>
    <w:rsid w:val="00BE2C42"/>
    <w:rsid w:val="00BE62E8"/>
    <w:rsid w:val="00BE63DD"/>
    <w:rsid w:val="00C25956"/>
    <w:rsid w:val="00C26123"/>
    <w:rsid w:val="00C34091"/>
    <w:rsid w:val="00C472BC"/>
    <w:rsid w:val="00C508B8"/>
    <w:rsid w:val="00C54099"/>
    <w:rsid w:val="00C61F4F"/>
    <w:rsid w:val="00C852B5"/>
    <w:rsid w:val="00C94803"/>
    <w:rsid w:val="00CB342C"/>
    <w:rsid w:val="00CB4579"/>
    <w:rsid w:val="00CB635A"/>
    <w:rsid w:val="00CD0561"/>
    <w:rsid w:val="00CD33C4"/>
    <w:rsid w:val="00CE5592"/>
    <w:rsid w:val="00CF6C3E"/>
    <w:rsid w:val="00D00118"/>
    <w:rsid w:val="00D013D6"/>
    <w:rsid w:val="00D048C1"/>
    <w:rsid w:val="00D146D7"/>
    <w:rsid w:val="00D1470E"/>
    <w:rsid w:val="00D165BC"/>
    <w:rsid w:val="00D32373"/>
    <w:rsid w:val="00D37593"/>
    <w:rsid w:val="00D51702"/>
    <w:rsid w:val="00D703AC"/>
    <w:rsid w:val="00D82F2E"/>
    <w:rsid w:val="00DA4C4C"/>
    <w:rsid w:val="00DC0D41"/>
    <w:rsid w:val="00DC3217"/>
    <w:rsid w:val="00DC3FBB"/>
    <w:rsid w:val="00DC51DB"/>
    <w:rsid w:val="00DD36E7"/>
    <w:rsid w:val="00DE7552"/>
    <w:rsid w:val="00DF310F"/>
    <w:rsid w:val="00E012DF"/>
    <w:rsid w:val="00E03430"/>
    <w:rsid w:val="00E106AD"/>
    <w:rsid w:val="00E11BA4"/>
    <w:rsid w:val="00E15C1B"/>
    <w:rsid w:val="00E372E8"/>
    <w:rsid w:val="00E503DB"/>
    <w:rsid w:val="00E6215C"/>
    <w:rsid w:val="00E65F42"/>
    <w:rsid w:val="00E9210A"/>
    <w:rsid w:val="00E96D56"/>
    <w:rsid w:val="00E97475"/>
    <w:rsid w:val="00EC1F97"/>
    <w:rsid w:val="00EC4EC3"/>
    <w:rsid w:val="00EC6A6C"/>
    <w:rsid w:val="00EE1687"/>
    <w:rsid w:val="00EE700A"/>
    <w:rsid w:val="00EF3E65"/>
    <w:rsid w:val="00EF4FEE"/>
    <w:rsid w:val="00F0128C"/>
    <w:rsid w:val="00F2279E"/>
    <w:rsid w:val="00F26EF3"/>
    <w:rsid w:val="00F27F3A"/>
    <w:rsid w:val="00F30C65"/>
    <w:rsid w:val="00F403C4"/>
    <w:rsid w:val="00F419A1"/>
    <w:rsid w:val="00F44A9C"/>
    <w:rsid w:val="00F55F4A"/>
    <w:rsid w:val="00F56D97"/>
    <w:rsid w:val="00F70AB6"/>
    <w:rsid w:val="00F71727"/>
    <w:rsid w:val="00F732EC"/>
    <w:rsid w:val="00F74E05"/>
    <w:rsid w:val="00F83882"/>
    <w:rsid w:val="00F912A0"/>
    <w:rsid w:val="00FA6669"/>
    <w:rsid w:val="00FB5683"/>
    <w:rsid w:val="00FB61C0"/>
    <w:rsid w:val="00FC7738"/>
    <w:rsid w:val="00FE2852"/>
    <w:rsid w:val="00FE5E3D"/>
    <w:rsid w:val="00FF26F2"/>
    <w:rsid w:val="00FF4BC6"/>
    <w:rsid w:val="121A62F0"/>
    <w:rsid w:val="1DE4A595"/>
    <w:rsid w:val="2E34AB9A"/>
    <w:rsid w:val="40DA62B8"/>
    <w:rsid w:val="44F6E87B"/>
    <w:rsid w:val="4B8513D8"/>
    <w:rsid w:val="4C25CC33"/>
    <w:rsid w:val="55F9FC92"/>
    <w:rsid w:val="7303250C"/>
    <w:rsid w:val="7432C278"/>
    <w:rsid w:val="76B99EF8"/>
    <w:rsid w:val="78556F59"/>
    <w:rsid w:val="7CEDC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6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FA6669"/>
    <w:pPr>
      <w:numPr>
        <w:numId w:val="2"/>
      </w:numPr>
      <w:ind w:left="284"/>
      <w:outlineLvl w:val="0"/>
    </w:pPr>
    <w:rPr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3D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36ED2"/>
    <w:pPr>
      <w:spacing w:before="200" w:line="240" w:lineRule="auto"/>
      <w:ind w:left="1701"/>
    </w:pPr>
    <w:rPr>
      <w:rFonts w:eastAsiaTheme="minorHAnsi"/>
      <w:i/>
      <w:iCs/>
      <w:sz w:val="20"/>
      <w:szCs w:val="20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836ED2"/>
    <w:rPr>
      <w:rFonts w:ascii="Times New Roman" w:hAnsi="Times New Roman" w:cs="Times New Roman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A6669"/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70D1"/>
    <w:pPr>
      <w:numPr>
        <w:ilvl w:val="1"/>
      </w:numPr>
      <w:spacing w:after="160"/>
      <w:ind w:firstLine="709"/>
    </w:pPr>
    <w:rPr>
      <w:rFonts w:eastAsiaTheme="minorEastAsia"/>
      <w:b/>
      <w:color w:val="5A5A5A" w:themeColor="text1" w:themeTint="A5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070D1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Caracteresdenotaderodap">
    <w:name w:val="Caracteres de nota de rodapé"/>
    <w:basedOn w:val="Fontepargpadro"/>
    <w:rsid w:val="00F74E05"/>
    <w:rPr>
      <w:rFonts w:cs="Times New Roman"/>
      <w:vertAlign w:val="superscript"/>
    </w:rPr>
  </w:style>
  <w:style w:type="character" w:customStyle="1" w:styleId="Refdenotaderodap1">
    <w:name w:val="Ref. de nota de rodapé1"/>
    <w:rsid w:val="00F74E05"/>
    <w:rPr>
      <w:vertAlign w:val="superscript"/>
    </w:rPr>
  </w:style>
  <w:style w:type="character" w:styleId="Refdenotaderodap">
    <w:name w:val="footnote reference"/>
    <w:basedOn w:val="Fontepargpadro"/>
    <w:uiPriority w:val="99"/>
    <w:rsid w:val="00F74E0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74E05"/>
    <w:pPr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4E0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9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47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72B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2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B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C0D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431E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BA0EE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A0EEB"/>
    <w:rPr>
      <w:color w:val="954F72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54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3F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33F3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3F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F34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24F30"/>
    <w:pPr>
      <w:widowControl w:val="0"/>
      <w:adjustRightInd/>
      <w:spacing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4F30"/>
    <w:rPr>
      <w:rFonts w:ascii="Calibri" w:eastAsia="Calibri" w:hAnsi="Calibri" w:cs="Calibri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824F30"/>
    <w:pPr>
      <w:widowControl w:val="0"/>
      <w:adjustRightInd/>
      <w:spacing w:line="240" w:lineRule="auto"/>
      <w:ind w:left="118" w:firstLine="0"/>
      <w:jc w:val="left"/>
      <w:outlineLvl w:val="1"/>
    </w:pPr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24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F30"/>
    <w:pPr>
      <w:widowControl w:val="0"/>
      <w:adjustRightInd/>
      <w:spacing w:line="292" w:lineRule="exact"/>
      <w:ind w:left="72" w:firstLine="0"/>
      <w:jc w:val="left"/>
    </w:pPr>
    <w:rPr>
      <w:rFonts w:ascii="Calibri" w:eastAsia="Calibri" w:hAnsi="Calibri" w:cs="Calibri"/>
      <w:sz w:val="22"/>
      <w:szCs w:val="2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5F42"/>
    <w:pPr>
      <w:keepNext/>
      <w:keepLines/>
      <w:numPr>
        <w:numId w:val="0"/>
      </w:numPr>
      <w:autoSpaceDE/>
      <w:autoSpaceDN/>
      <w:adjustRightInd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5F4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65F42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6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FA6669"/>
    <w:pPr>
      <w:numPr>
        <w:numId w:val="2"/>
      </w:numPr>
      <w:ind w:left="284"/>
      <w:outlineLvl w:val="0"/>
    </w:pPr>
    <w:rPr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3D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36ED2"/>
    <w:pPr>
      <w:spacing w:before="200" w:line="240" w:lineRule="auto"/>
      <w:ind w:left="1701"/>
    </w:pPr>
    <w:rPr>
      <w:rFonts w:eastAsiaTheme="minorHAnsi"/>
      <w:i/>
      <w:iCs/>
      <w:sz w:val="20"/>
      <w:szCs w:val="20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836ED2"/>
    <w:rPr>
      <w:rFonts w:ascii="Times New Roman" w:hAnsi="Times New Roman" w:cs="Times New Roman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A6669"/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70D1"/>
    <w:pPr>
      <w:numPr>
        <w:ilvl w:val="1"/>
      </w:numPr>
      <w:spacing w:after="160"/>
      <w:ind w:firstLine="709"/>
    </w:pPr>
    <w:rPr>
      <w:rFonts w:eastAsiaTheme="minorEastAsia"/>
      <w:b/>
      <w:color w:val="5A5A5A" w:themeColor="text1" w:themeTint="A5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070D1"/>
    <w:rPr>
      <w:rFonts w:ascii="Times New Roman" w:eastAsiaTheme="minorEastAsia" w:hAnsi="Times New Roman" w:cs="Times New Roman"/>
      <w:b/>
      <w:color w:val="5A5A5A" w:themeColor="text1" w:themeTint="A5"/>
      <w:spacing w:val="15"/>
      <w:sz w:val="28"/>
      <w:szCs w:val="28"/>
    </w:rPr>
  </w:style>
  <w:style w:type="character" w:customStyle="1" w:styleId="Caracteresdenotaderodap">
    <w:name w:val="Caracteres de nota de rodapé"/>
    <w:basedOn w:val="Fontepargpadro"/>
    <w:rsid w:val="00F74E05"/>
    <w:rPr>
      <w:rFonts w:cs="Times New Roman"/>
      <w:vertAlign w:val="superscript"/>
    </w:rPr>
  </w:style>
  <w:style w:type="character" w:customStyle="1" w:styleId="Refdenotaderodap1">
    <w:name w:val="Ref. de nota de rodapé1"/>
    <w:rsid w:val="00F74E05"/>
    <w:rPr>
      <w:vertAlign w:val="superscript"/>
    </w:rPr>
  </w:style>
  <w:style w:type="character" w:styleId="Refdenotaderodap">
    <w:name w:val="footnote reference"/>
    <w:basedOn w:val="Fontepargpadro"/>
    <w:uiPriority w:val="99"/>
    <w:rsid w:val="00F74E0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74E05"/>
    <w:pPr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4E0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9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47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72B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2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B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C0D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431E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BA0EE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A0EEB"/>
    <w:rPr>
      <w:color w:val="954F72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54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F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33F3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3F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F34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24F30"/>
    <w:pPr>
      <w:widowControl w:val="0"/>
      <w:adjustRightInd/>
      <w:spacing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4F30"/>
    <w:rPr>
      <w:rFonts w:ascii="Calibri" w:eastAsia="Calibri" w:hAnsi="Calibri" w:cs="Calibri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824F30"/>
    <w:pPr>
      <w:widowControl w:val="0"/>
      <w:adjustRightInd/>
      <w:spacing w:line="240" w:lineRule="auto"/>
      <w:ind w:left="118" w:firstLine="0"/>
      <w:jc w:val="left"/>
      <w:outlineLvl w:val="1"/>
    </w:pPr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24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F30"/>
    <w:pPr>
      <w:widowControl w:val="0"/>
      <w:adjustRightInd/>
      <w:spacing w:line="292" w:lineRule="exact"/>
      <w:ind w:left="72" w:firstLine="0"/>
      <w:jc w:val="left"/>
    </w:pPr>
    <w:rPr>
      <w:rFonts w:ascii="Calibri" w:eastAsia="Calibri" w:hAnsi="Calibri" w:cs="Calibri"/>
      <w:sz w:val="22"/>
      <w:szCs w:val="2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5F42"/>
    <w:pPr>
      <w:keepNext/>
      <w:keepLines/>
      <w:numPr>
        <w:numId w:val="0"/>
      </w:numPr>
      <w:autoSpaceDE/>
      <w:autoSpaceDN/>
      <w:adjustRightInd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5F4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65F42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674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43BD-E430-438F-9C1B-7382239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3354</Characters>
  <Application>Microsoft Office Word</Application>
  <DocSecurity>0</DocSecurity>
  <Lines>27</Lines>
  <Paragraphs>7</Paragraphs>
  <ScaleCrop>false</ScaleCrop>
  <Company>HP Inc.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Pedron</dc:creator>
  <cp:lastModifiedBy>d848106</cp:lastModifiedBy>
  <cp:revision>3</cp:revision>
  <cp:lastPrinted>2021-10-29T13:53:00Z</cp:lastPrinted>
  <dcterms:created xsi:type="dcterms:W3CDTF">2022-03-17T13:04:00Z</dcterms:created>
  <dcterms:modified xsi:type="dcterms:W3CDTF">2022-03-17T13:07:00Z</dcterms:modified>
</cp:coreProperties>
</file>